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329"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2978"/>
        <w:gridCol w:w="7654"/>
      </w:tblGrid>
      <w:tr w:rsidR="00487368" w:rsidRPr="009C7DF1" w:rsidTr="00314004">
        <w:trPr>
          <w:trHeight w:val="817"/>
        </w:trPr>
        <w:tc>
          <w:tcPr>
            <w:tcW w:w="10632" w:type="dxa"/>
            <w:gridSpan w:val="2"/>
            <w:shd w:val="clear" w:color="auto" w:fill="auto"/>
          </w:tcPr>
          <w:p w:rsidR="00487368" w:rsidRPr="009C7DF1" w:rsidRDefault="00487368" w:rsidP="00C176A4">
            <w:pPr>
              <w:tabs>
                <w:tab w:val="left" w:pos="3832"/>
              </w:tabs>
              <w:jc w:val="center"/>
              <w:rPr>
                <w:b/>
              </w:rPr>
            </w:pPr>
            <w:r w:rsidRPr="009C7DF1">
              <w:rPr>
                <w:b/>
              </w:rPr>
              <w:t>OBRAZAC</w:t>
            </w:r>
          </w:p>
          <w:p w:rsidR="00487368" w:rsidRPr="009C7DF1" w:rsidRDefault="00485374" w:rsidP="00C176A4">
            <w:pPr>
              <w:jc w:val="center"/>
              <w:rPr>
                <w:b/>
              </w:rPr>
            </w:pPr>
            <w:r w:rsidRPr="009C7DF1">
              <w:rPr>
                <w:b/>
              </w:rPr>
              <w:t>i</w:t>
            </w:r>
            <w:r w:rsidR="00487368" w:rsidRPr="009C7DF1">
              <w:rPr>
                <w:b/>
              </w:rPr>
              <w:t>zvješća</w:t>
            </w:r>
            <w:r w:rsidR="009A5822" w:rsidRPr="009C7DF1">
              <w:rPr>
                <w:b/>
              </w:rPr>
              <w:t xml:space="preserve"> o provedenom savjetovanju s </w:t>
            </w:r>
            <w:r w:rsidR="00487368" w:rsidRPr="009C7DF1">
              <w:rPr>
                <w:b/>
              </w:rPr>
              <w:t>javnošću</w:t>
            </w:r>
          </w:p>
          <w:p w:rsidR="00487368" w:rsidRPr="009C7DF1" w:rsidRDefault="00487368" w:rsidP="00487368"/>
        </w:tc>
      </w:tr>
      <w:tr w:rsidR="00487368" w:rsidRPr="009C7DF1" w:rsidTr="00314004">
        <w:trPr>
          <w:trHeight w:val="500"/>
        </w:trPr>
        <w:tc>
          <w:tcPr>
            <w:tcW w:w="2978" w:type="dxa"/>
            <w:tcBorders>
              <w:right w:val="single" w:sz="4" w:space="0" w:color="auto"/>
            </w:tcBorders>
            <w:shd w:val="clear" w:color="auto" w:fill="auto"/>
            <w:vAlign w:val="center"/>
          </w:tcPr>
          <w:p w:rsidR="00487368" w:rsidRPr="009C7DF1" w:rsidRDefault="00487368" w:rsidP="00487368">
            <w:pPr>
              <w:rPr>
                <w:b/>
              </w:rPr>
            </w:pPr>
            <w:r w:rsidRPr="009C7DF1">
              <w:rPr>
                <w:b/>
              </w:rPr>
              <w:t xml:space="preserve">Naziv nacrta odluke ili drugog općeg akta o kojem je savjetovanje provedeno </w:t>
            </w:r>
          </w:p>
        </w:tc>
        <w:tc>
          <w:tcPr>
            <w:tcW w:w="7654" w:type="dxa"/>
            <w:tcBorders>
              <w:left w:val="single" w:sz="4" w:space="0" w:color="auto"/>
            </w:tcBorders>
            <w:shd w:val="clear" w:color="auto" w:fill="auto"/>
            <w:vAlign w:val="center"/>
          </w:tcPr>
          <w:p w:rsidR="00487368" w:rsidRPr="009C7DF1" w:rsidRDefault="00D36A6C" w:rsidP="00C176A4">
            <w:pPr>
              <w:jc w:val="both"/>
              <w:rPr>
                <w:b/>
              </w:rPr>
            </w:pPr>
            <w:r w:rsidRPr="009C7DF1">
              <w:rPr>
                <w:b/>
              </w:rPr>
              <w:t>Odluka</w:t>
            </w:r>
            <w:r w:rsidR="003F254E" w:rsidRPr="009C7DF1">
              <w:rPr>
                <w:b/>
              </w:rPr>
              <w:t xml:space="preserve"> o izmjenama i dopunama Odluke o </w:t>
            </w:r>
            <w:r w:rsidRPr="009C7DF1">
              <w:rPr>
                <w:b/>
              </w:rPr>
              <w:t>davanju u zakup i na drugo korištenje površina javne namjene</w:t>
            </w:r>
          </w:p>
        </w:tc>
      </w:tr>
      <w:tr w:rsidR="00487368" w:rsidRPr="009C7DF1" w:rsidTr="00314004">
        <w:trPr>
          <w:trHeight w:val="932"/>
        </w:trPr>
        <w:tc>
          <w:tcPr>
            <w:tcW w:w="2978" w:type="dxa"/>
            <w:tcBorders>
              <w:right w:val="single" w:sz="4" w:space="0" w:color="auto"/>
            </w:tcBorders>
            <w:shd w:val="clear" w:color="auto" w:fill="auto"/>
            <w:vAlign w:val="center"/>
          </w:tcPr>
          <w:p w:rsidR="00487368" w:rsidRPr="009C7DF1" w:rsidRDefault="00487368" w:rsidP="00487368">
            <w:pPr>
              <w:rPr>
                <w:b/>
              </w:rPr>
            </w:pPr>
            <w:r w:rsidRPr="009C7DF1">
              <w:rPr>
                <w:b/>
              </w:rPr>
              <w:t>Nositelj izrade nacrta akta (gradsko upravno tijelo koje je provelo savjetovanje)</w:t>
            </w:r>
          </w:p>
        </w:tc>
        <w:tc>
          <w:tcPr>
            <w:tcW w:w="7654" w:type="dxa"/>
            <w:tcBorders>
              <w:left w:val="single" w:sz="4" w:space="0" w:color="auto"/>
            </w:tcBorders>
            <w:shd w:val="clear" w:color="auto" w:fill="auto"/>
            <w:vAlign w:val="center"/>
          </w:tcPr>
          <w:p w:rsidR="00423E43" w:rsidRPr="009C7DF1" w:rsidRDefault="00423E43" w:rsidP="00423E43">
            <w:pPr>
              <w:jc w:val="both"/>
              <w:rPr>
                <w:rFonts w:eastAsia="Calibri"/>
                <w:lang w:eastAsia="en-US"/>
              </w:rPr>
            </w:pPr>
            <w:r w:rsidRPr="009C7DF1">
              <w:rPr>
                <w:rFonts w:eastAsia="Calibri"/>
                <w:lang w:eastAsia="en-US"/>
              </w:rPr>
              <w:t xml:space="preserve">Gradski ured za </w:t>
            </w:r>
            <w:r w:rsidR="00314004" w:rsidRPr="009C7DF1">
              <w:rPr>
                <w:rFonts w:eastAsia="Calibri"/>
                <w:lang w:eastAsia="en-US"/>
              </w:rPr>
              <w:t xml:space="preserve">obnovu, izgradnju, </w:t>
            </w:r>
            <w:r w:rsidRPr="009C7DF1">
              <w:rPr>
                <w:rFonts w:eastAsia="Calibri"/>
                <w:lang w:eastAsia="en-US"/>
              </w:rPr>
              <w:t>prostorno uređenje, graditeljstvo, komunalne poslove i promet</w:t>
            </w:r>
          </w:p>
          <w:p w:rsidR="00423E43" w:rsidRPr="009C7DF1" w:rsidRDefault="00423E43" w:rsidP="00423E43">
            <w:pPr>
              <w:ind w:left="705"/>
              <w:jc w:val="both"/>
              <w:rPr>
                <w:rFonts w:eastAsia="Calibri"/>
                <w:lang w:eastAsia="en-US"/>
              </w:rPr>
            </w:pPr>
          </w:p>
          <w:p w:rsidR="00487368" w:rsidRPr="009C7DF1" w:rsidRDefault="00487368" w:rsidP="00C176A4">
            <w:pPr>
              <w:jc w:val="both"/>
              <w:rPr>
                <w:b/>
              </w:rPr>
            </w:pPr>
          </w:p>
        </w:tc>
      </w:tr>
      <w:tr w:rsidR="00487368" w:rsidRPr="009C7DF1" w:rsidTr="00314004">
        <w:trPr>
          <w:trHeight w:val="561"/>
        </w:trPr>
        <w:tc>
          <w:tcPr>
            <w:tcW w:w="2978" w:type="dxa"/>
            <w:tcBorders>
              <w:right w:val="single" w:sz="4" w:space="0" w:color="auto"/>
            </w:tcBorders>
            <w:shd w:val="clear" w:color="auto" w:fill="auto"/>
            <w:vAlign w:val="center"/>
          </w:tcPr>
          <w:p w:rsidR="00487368" w:rsidRPr="009C7DF1" w:rsidRDefault="00487368" w:rsidP="00314004">
            <w:pPr>
              <w:rPr>
                <w:b/>
              </w:rPr>
            </w:pPr>
            <w:r w:rsidRPr="009C7DF1">
              <w:rPr>
                <w:b/>
              </w:rPr>
              <w:t>Vrijeme trajanja savjetovanja</w:t>
            </w:r>
          </w:p>
        </w:tc>
        <w:tc>
          <w:tcPr>
            <w:tcW w:w="7654" w:type="dxa"/>
            <w:tcBorders>
              <w:left w:val="single" w:sz="4" w:space="0" w:color="auto"/>
            </w:tcBorders>
            <w:shd w:val="clear" w:color="auto" w:fill="auto"/>
            <w:vAlign w:val="center"/>
          </w:tcPr>
          <w:p w:rsidR="00487368" w:rsidRPr="009C7DF1" w:rsidRDefault="00314004" w:rsidP="00C176A4">
            <w:pPr>
              <w:jc w:val="both"/>
            </w:pPr>
            <w:r w:rsidRPr="009C7DF1">
              <w:t>15.04. – 15.0</w:t>
            </w:r>
            <w:r w:rsidR="007D48FF">
              <w:t>5</w:t>
            </w:r>
            <w:r w:rsidRPr="009C7DF1">
              <w:t>.2022.</w:t>
            </w:r>
          </w:p>
        </w:tc>
      </w:tr>
      <w:tr w:rsidR="00487368" w:rsidRPr="009C7DF1" w:rsidTr="00314004">
        <w:trPr>
          <w:trHeight w:val="561"/>
        </w:trPr>
        <w:tc>
          <w:tcPr>
            <w:tcW w:w="2978" w:type="dxa"/>
            <w:tcBorders>
              <w:right w:val="single" w:sz="4" w:space="0" w:color="auto"/>
            </w:tcBorders>
            <w:shd w:val="clear" w:color="auto" w:fill="auto"/>
            <w:vAlign w:val="center"/>
          </w:tcPr>
          <w:p w:rsidR="00487368" w:rsidRPr="009C7DF1" w:rsidRDefault="00487368" w:rsidP="00C176A4">
            <w:pPr>
              <w:jc w:val="both"/>
              <w:rPr>
                <w:b/>
              </w:rPr>
            </w:pPr>
            <w:r w:rsidRPr="009C7DF1">
              <w:rPr>
                <w:b/>
              </w:rPr>
              <w:t xml:space="preserve">Metoda savjetovanja </w:t>
            </w:r>
          </w:p>
        </w:tc>
        <w:tc>
          <w:tcPr>
            <w:tcW w:w="7654" w:type="dxa"/>
            <w:tcBorders>
              <w:left w:val="single" w:sz="4" w:space="0" w:color="auto"/>
            </w:tcBorders>
            <w:shd w:val="clear" w:color="auto" w:fill="auto"/>
            <w:vAlign w:val="center"/>
          </w:tcPr>
          <w:p w:rsidR="00487368" w:rsidRPr="009C7DF1" w:rsidRDefault="00423E43" w:rsidP="00C176A4">
            <w:pPr>
              <w:jc w:val="both"/>
            </w:pPr>
            <w:r w:rsidRPr="009C7DF1">
              <w:t>Internetsko savjetovanje</w:t>
            </w:r>
          </w:p>
        </w:tc>
      </w:tr>
    </w:tbl>
    <w:p w:rsidR="00487368" w:rsidRDefault="00487368" w:rsidP="00487368"/>
    <w:p w:rsidR="001E6D9D" w:rsidRPr="009C7DF1" w:rsidRDefault="001E6D9D" w:rsidP="00487368"/>
    <w:tbl>
      <w:tblPr>
        <w:tblW w:w="1063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276"/>
        <w:gridCol w:w="3969"/>
        <w:gridCol w:w="3118"/>
      </w:tblGrid>
      <w:tr w:rsidR="00487368" w:rsidRPr="009C7DF1" w:rsidTr="0080015B">
        <w:tc>
          <w:tcPr>
            <w:tcW w:w="710" w:type="dxa"/>
            <w:tcBorders>
              <w:top w:val="thinThickSmallGap" w:sz="24" w:space="0" w:color="auto"/>
              <w:left w:val="thinThickSmallGap" w:sz="24" w:space="0" w:color="auto"/>
            </w:tcBorders>
            <w:shd w:val="clear" w:color="auto" w:fill="auto"/>
            <w:vAlign w:val="center"/>
          </w:tcPr>
          <w:p w:rsidR="00487368" w:rsidRPr="009C7DF1" w:rsidRDefault="00487368" w:rsidP="00C176A4">
            <w:pPr>
              <w:jc w:val="center"/>
            </w:pPr>
            <w:r w:rsidRPr="009C7DF1">
              <w:t>Red. br.</w:t>
            </w:r>
          </w:p>
        </w:tc>
        <w:tc>
          <w:tcPr>
            <w:tcW w:w="1559" w:type="dxa"/>
            <w:tcBorders>
              <w:top w:val="thinThickSmallGap" w:sz="24" w:space="0" w:color="auto"/>
            </w:tcBorders>
            <w:shd w:val="clear" w:color="auto" w:fill="auto"/>
            <w:vAlign w:val="center"/>
          </w:tcPr>
          <w:p w:rsidR="00487368" w:rsidRPr="009C7DF1" w:rsidRDefault="00487368" w:rsidP="00C176A4">
            <w:pPr>
              <w:jc w:val="center"/>
            </w:pPr>
            <w:r w:rsidRPr="009C7DF1">
              <w:t>Predstavnici  javnosti (pojedinac, organizacija, institucija)</w:t>
            </w:r>
          </w:p>
        </w:tc>
        <w:tc>
          <w:tcPr>
            <w:tcW w:w="1276" w:type="dxa"/>
            <w:tcBorders>
              <w:top w:val="thinThickSmallGap" w:sz="24" w:space="0" w:color="auto"/>
            </w:tcBorders>
            <w:shd w:val="clear" w:color="auto" w:fill="auto"/>
            <w:vAlign w:val="center"/>
          </w:tcPr>
          <w:p w:rsidR="00487368" w:rsidRPr="009C7DF1" w:rsidRDefault="00487368" w:rsidP="00C176A4">
            <w:pPr>
              <w:jc w:val="center"/>
            </w:pPr>
            <w:r w:rsidRPr="009C7DF1">
              <w:t>Članak na koji se odnosi primjedba/</w:t>
            </w:r>
          </w:p>
          <w:p w:rsidR="00487368" w:rsidRPr="009C7DF1" w:rsidRDefault="00487368" w:rsidP="00C176A4">
            <w:pPr>
              <w:jc w:val="center"/>
            </w:pPr>
            <w:r w:rsidRPr="009C7DF1">
              <w:t>prijedlog</w:t>
            </w:r>
          </w:p>
        </w:tc>
        <w:tc>
          <w:tcPr>
            <w:tcW w:w="3969" w:type="dxa"/>
            <w:tcBorders>
              <w:top w:val="thinThickSmallGap" w:sz="24" w:space="0" w:color="auto"/>
            </w:tcBorders>
            <w:shd w:val="clear" w:color="auto" w:fill="auto"/>
            <w:vAlign w:val="center"/>
          </w:tcPr>
          <w:p w:rsidR="00487368" w:rsidRPr="009C7DF1" w:rsidRDefault="00487368" w:rsidP="00C176A4">
            <w:pPr>
              <w:jc w:val="center"/>
            </w:pPr>
            <w:r w:rsidRPr="009C7DF1">
              <w:t>Tekst primjedbe/</w:t>
            </w:r>
          </w:p>
          <w:p w:rsidR="00487368" w:rsidRPr="009C7DF1" w:rsidRDefault="00487368" w:rsidP="00C176A4">
            <w:pPr>
              <w:jc w:val="center"/>
            </w:pPr>
            <w:r w:rsidRPr="009C7DF1">
              <w:t>prijedloga</w:t>
            </w:r>
          </w:p>
        </w:tc>
        <w:tc>
          <w:tcPr>
            <w:tcW w:w="3118" w:type="dxa"/>
            <w:tcBorders>
              <w:top w:val="thinThickSmallGap" w:sz="24" w:space="0" w:color="auto"/>
              <w:right w:val="thinThickSmallGap" w:sz="24" w:space="0" w:color="auto"/>
            </w:tcBorders>
            <w:shd w:val="clear" w:color="auto" w:fill="auto"/>
            <w:vAlign w:val="center"/>
          </w:tcPr>
          <w:p w:rsidR="00487368" w:rsidRPr="009C7DF1" w:rsidRDefault="00487368" w:rsidP="00C176A4">
            <w:pPr>
              <w:jc w:val="center"/>
            </w:pPr>
            <w:r w:rsidRPr="009C7DF1">
              <w:t>Prihvaćanje/ neprihvaćanje primjedbe/ prijedloga sa obrazloženjem</w:t>
            </w:r>
          </w:p>
        </w:tc>
      </w:tr>
      <w:tr w:rsidR="00487368" w:rsidRPr="009C7DF1" w:rsidTr="0080015B">
        <w:tc>
          <w:tcPr>
            <w:tcW w:w="710" w:type="dxa"/>
            <w:tcBorders>
              <w:left w:val="thinThickSmallGap" w:sz="24" w:space="0" w:color="auto"/>
            </w:tcBorders>
            <w:shd w:val="clear" w:color="auto" w:fill="auto"/>
          </w:tcPr>
          <w:p w:rsidR="00487368" w:rsidRPr="009C7DF1" w:rsidRDefault="00423E43" w:rsidP="00665E6D">
            <w:pPr>
              <w:spacing w:before="240"/>
            </w:pPr>
            <w:r w:rsidRPr="009C7DF1">
              <w:t>1.</w:t>
            </w:r>
          </w:p>
        </w:tc>
        <w:tc>
          <w:tcPr>
            <w:tcW w:w="1559" w:type="dxa"/>
            <w:shd w:val="clear" w:color="auto" w:fill="auto"/>
          </w:tcPr>
          <w:p w:rsidR="003F254E" w:rsidRPr="009C7DF1" w:rsidRDefault="00314004" w:rsidP="00665E6D">
            <w:pPr>
              <w:spacing w:before="240"/>
            </w:pPr>
            <w:r w:rsidRPr="009C7DF1">
              <w:t>Udruženje obrtnika grada Zagreba</w:t>
            </w:r>
          </w:p>
        </w:tc>
        <w:tc>
          <w:tcPr>
            <w:tcW w:w="1276" w:type="dxa"/>
            <w:shd w:val="clear" w:color="auto" w:fill="auto"/>
          </w:tcPr>
          <w:p w:rsidR="00314004" w:rsidRPr="009C7DF1" w:rsidRDefault="00314004" w:rsidP="00665E6D">
            <w:pPr>
              <w:spacing w:before="240"/>
            </w:pPr>
          </w:p>
          <w:p w:rsidR="00487368" w:rsidRPr="009C7DF1" w:rsidRDefault="00314004" w:rsidP="00665E6D">
            <w:pPr>
              <w:spacing w:before="240"/>
            </w:pPr>
            <w:r w:rsidRPr="009C7DF1">
              <w:t>Članak 4</w:t>
            </w:r>
            <w:r w:rsidR="00665E6D">
              <w:t>.</w:t>
            </w:r>
          </w:p>
        </w:tc>
        <w:tc>
          <w:tcPr>
            <w:tcW w:w="3969" w:type="dxa"/>
            <w:shd w:val="clear" w:color="auto" w:fill="auto"/>
          </w:tcPr>
          <w:p w:rsidR="00314004" w:rsidRPr="009C7DF1" w:rsidRDefault="00314004" w:rsidP="00665E6D">
            <w:pPr>
              <w:spacing w:before="240"/>
            </w:pPr>
            <w:r w:rsidRPr="009C7DF1">
              <w:t>Članak 4. Odluke o izmjenama i dopunama Odluke o davanju u zakup i na drugo korištenje površine javne namjene: članak 22b, 22c, 22.e, predlaže se promjena: proizvođače suvenira i obrtnike staviti u posebnu kategoriju, a ne u istu kategoriju di su ugostitelji i roba kupljena i uvezena.</w:t>
            </w:r>
          </w:p>
          <w:p w:rsidR="00314004" w:rsidRPr="009C7DF1" w:rsidRDefault="00314004" w:rsidP="00665E6D">
            <w:pPr>
              <w:spacing w:before="240"/>
            </w:pPr>
            <w:proofErr w:type="spellStart"/>
            <w:r w:rsidRPr="009C7DF1">
              <w:t>Podredno</w:t>
            </w:r>
            <w:proofErr w:type="spellEnd"/>
            <w:r w:rsidRPr="009C7DF1">
              <w:t>, kriterije ocjenjivanja, nisu stavljeni, pa predlažemo dodati&gt;: većinski udio ručnog rada,</w:t>
            </w:r>
          </w:p>
          <w:p w:rsidR="00314004" w:rsidRPr="009C7DF1" w:rsidRDefault="00314004" w:rsidP="00665E6D">
            <w:pPr>
              <w:spacing w:before="240"/>
            </w:pPr>
            <w:r w:rsidRPr="009C7DF1">
              <w:t xml:space="preserve">Tradicijski obrti i suveniri imaju veći broj bodova ili su u posebnoj kategoriji direktnog dobivanja lokacije za manifestacije,; zatim staviti veći broj sudionika Zajednice ponuditelja (obrtnici dio zajednice) imaju više bodova jer sudjeluju sa većim brojem izlagača, ; vrsta materijala od kojih se izrađuju suveniri i prigodni predmeti- s </w:t>
            </w:r>
            <w:r w:rsidR="009C7DF1" w:rsidRPr="009C7DF1">
              <w:t>većim</w:t>
            </w:r>
            <w:r w:rsidRPr="009C7DF1">
              <w:t xml:space="preserve"> udjelom domaćih sirovina i materijala proizvedenih u RH kao sirovine, ; obilježja lokalnog identiteta, turistički proizvodi, veći broj bodova;</w:t>
            </w:r>
          </w:p>
          <w:p w:rsidR="00314004" w:rsidRPr="009C7DF1" w:rsidRDefault="00314004" w:rsidP="00665E6D">
            <w:pPr>
              <w:spacing w:before="240"/>
            </w:pPr>
            <w:r w:rsidRPr="009C7DF1">
              <w:lastRenderedPageBreak/>
              <w:t>Predlažemo različite kategorije i skupine, proizvođači mimo ugostitelja.</w:t>
            </w:r>
          </w:p>
          <w:p w:rsidR="00D36A6C" w:rsidRDefault="00314004" w:rsidP="00665E6D">
            <w:pPr>
              <w:spacing w:before="240"/>
            </w:pPr>
            <w:r w:rsidRPr="009C7DF1">
              <w:t>Molimo da se za Zajednicu ponuditelja i obrtnike- primjeni načelo- neposredne dodjele lokacije</w:t>
            </w:r>
          </w:p>
          <w:p w:rsidR="001E6D9D" w:rsidRPr="009C7DF1" w:rsidRDefault="001E6D9D" w:rsidP="00665E6D">
            <w:pPr>
              <w:spacing w:before="240"/>
            </w:pPr>
          </w:p>
        </w:tc>
        <w:tc>
          <w:tcPr>
            <w:tcW w:w="3118" w:type="dxa"/>
            <w:tcBorders>
              <w:right w:val="thinThickSmallGap" w:sz="24" w:space="0" w:color="auto"/>
            </w:tcBorders>
            <w:shd w:val="clear" w:color="auto" w:fill="auto"/>
          </w:tcPr>
          <w:p w:rsidR="005A4E3C" w:rsidRDefault="005A4E3C" w:rsidP="00665E6D">
            <w:pPr>
              <w:spacing w:before="240"/>
            </w:pPr>
            <w:r>
              <w:lastRenderedPageBreak/>
              <w:t>Primjedba se ne prihvaća.</w:t>
            </w:r>
          </w:p>
          <w:p w:rsidR="0080015B" w:rsidRPr="0080015B" w:rsidRDefault="005A4E3C" w:rsidP="0080015B">
            <w:pPr>
              <w:spacing w:before="240"/>
              <w:rPr>
                <w:color w:val="000000"/>
              </w:rPr>
            </w:pPr>
            <w:r>
              <w:t>Prijedlogom odluke o izmjenama i dopunama Odluke o davanju u zakup i na drugo korištenje površina javne namjene propisuje se uvjeti dodjele, sadržaj i  postupak j</w:t>
            </w:r>
            <w:r w:rsidRPr="005A4E3C">
              <w:t>avn</w:t>
            </w:r>
            <w:r>
              <w:t>og</w:t>
            </w:r>
            <w:r w:rsidRPr="005A4E3C">
              <w:t xml:space="preserve"> natječaj za postavljanje pokretnih naprava za prigodnu prodaju i ugostiteljske usluge za uskrsne i božićne blagdane</w:t>
            </w:r>
            <w:r>
              <w:t xml:space="preserve"> na koji natječaj se mogu javiti svi zainteresirani subjekti</w:t>
            </w:r>
            <w:r w:rsidR="000539B8">
              <w:t xml:space="preserve"> što uključuje i </w:t>
            </w:r>
            <w:r w:rsidR="000539B8" w:rsidRPr="009C7DF1">
              <w:t>proizvođač</w:t>
            </w:r>
            <w:r w:rsidR="000539B8">
              <w:t>e</w:t>
            </w:r>
            <w:r w:rsidR="000539B8" w:rsidRPr="009C7DF1">
              <w:t xml:space="preserve"> suvenira i obrtnike</w:t>
            </w:r>
            <w:r w:rsidR="000539B8">
              <w:t>.</w:t>
            </w:r>
            <w:r>
              <w:t xml:space="preserve"> </w:t>
            </w:r>
            <w:r w:rsidR="00136C81">
              <w:t>D</w:t>
            </w:r>
            <w:r w:rsidR="000539B8">
              <w:t>odjel</w:t>
            </w:r>
            <w:r w:rsidR="00136C81">
              <w:t>a</w:t>
            </w:r>
            <w:r w:rsidR="000539B8">
              <w:t xml:space="preserve"> lokacije-mjesta</w:t>
            </w:r>
            <w:r w:rsidR="00136C81">
              <w:t xml:space="preserve"> putem javnoga natječaja </w:t>
            </w:r>
            <w:r w:rsidR="000539B8">
              <w:t xml:space="preserve">se </w:t>
            </w:r>
            <w:r>
              <w:t>prošle godine pokaza</w:t>
            </w:r>
            <w:r w:rsidR="00136C81">
              <w:t>lo</w:t>
            </w:r>
            <w:r>
              <w:t xml:space="preserve"> kao uspješan i transparentan </w:t>
            </w:r>
            <w:r w:rsidR="00136C81">
              <w:t>model</w:t>
            </w:r>
            <w:r>
              <w:t xml:space="preserve"> dodjele lokacija – mjesta za božićne blagdane. Kriterij dodjele je najpovoljnija ponuda te nije potrebno razrađivati kriterije za ocjenjivanje pristiglih ponuda.</w:t>
            </w:r>
            <w:r w:rsidR="0080015B">
              <w:t xml:space="preserve"> </w:t>
            </w:r>
            <w:r>
              <w:t xml:space="preserve">Nadalje, Prijedlogom </w:t>
            </w:r>
            <w:r>
              <w:lastRenderedPageBreak/>
              <w:t xml:space="preserve">odluke se </w:t>
            </w:r>
            <w:r w:rsidR="000539B8">
              <w:t xml:space="preserve">uvodi i novi model dodjele lokacija s mjestima na površinama javne namjene za </w:t>
            </w:r>
            <w:r w:rsidR="000539B8" w:rsidRPr="00A940A1">
              <w:t>postavljanje pokretnih naprava za organiziranje manifestacija povodom božićnih blagdana</w:t>
            </w:r>
            <w:r w:rsidR="000539B8">
              <w:t xml:space="preserve"> te se u cilju što bolje organizacije manifestacija povodom božićnih blagdana </w:t>
            </w:r>
            <w:r w:rsidR="000539B8" w:rsidRPr="00E169D5">
              <w:t>ponud</w:t>
            </w:r>
            <w:r w:rsidR="0080015B">
              <w:t>e</w:t>
            </w:r>
            <w:r w:rsidR="000539B8">
              <w:t xml:space="preserve"> ne boduju prema kriteriju najpovoljnije ponude nego prema propisanim  kriterijima</w:t>
            </w:r>
            <w:r w:rsidR="00136C81">
              <w:t xml:space="preserve"> kao što su </w:t>
            </w:r>
            <w:r w:rsidR="000539B8" w:rsidRPr="007A655C">
              <w:rPr>
                <w:color w:val="000000"/>
              </w:rPr>
              <w:t>kreativnost</w:t>
            </w:r>
            <w:r w:rsidR="000539B8">
              <w:rPr>
                <w:color w:val="000000"/>
              </w:rPr>
              <w:t xml:space="preserve"> </w:t>
            </w:r>
            <w:r w:rsidR="000539B8" w:rsidRPr="007A655C">
              <w:rPr>
                <w:color w:val="000000"/>
              </w:rPr>
              <w:t>i inovativnost</w:t>
            </w:r>
            <w:r w:rsidR="000539B8">
              <w:rPr>
                <w:color w:val="000000"/>
              </w:rPr>
              <w:t xml:space="preserve">, </w:t>
            </w:r>
            <w:r w:rsidR="000539B8" w:rsidRPr="009F69E7">
              <w:rPr>
                <w:color w:val="000000"/>
              </w:rPr>
              <w:t>raznolikost programa</w:t>
            </w:r>
            <w:r w:rsidR="000539B8">
              <w:rPr>
                <w:color w:val="000000"/>
              </w:rPr>
              <w:t xml:space="preserve">, </w:t>
            </w:r>
            <w:r w:rsidR="000539B8" w:rsidRPr="009F69E7">
              <w:rPr>
                <w:color w:val="000000"/>
              </w:rPr>
              <w:t>primjen</w:t>
            </w:r>
            <w:r w:rsidR="00136C81">
              <w:rPr>
                <w:color w:val="000000"/>
              </w:rPr>
              <w:t>a</w:t>
            </w:r>
            <w:r w:rsidR="000539B8" w:rsidRPr="009F69E7">
              <w:rPr>
                <w:color w:val="000000"/>
              </w:rPr>
              <w:t xml:space="preserve"> ekoloških rješenja</w:t>
            </w:r>
            <w:r w:rsidR="003B5846">
              <w:t xml:space="preserve">, </w:t>
            </w:r>
            <w:r w:rsidR="003B5846" w:rsidRPr="003B5846">
              <w:rPr>
                <w:color w:val="000000"/>
              </w:rPr>
              <w:t>raznolikost i kvantiteta promotivnih aktivnosti manifestacije</w:t>
            </w:r>
            <w:r w:rsidR="000539B8">
              <w:rPr>
                <w:color w:val="000000"/>
              </w:rPr>
              <w:t xml:space="preserve"> i slično</w:t>
            </w:r>
            <w:r w:rsidR="00136C81">
              <w:rPr>
                <w:color w:val="000000"/>
              </w:rPr>
              <w:t>, a</w:t>
            </w:r>
            <w:r w:rsidR="0080015B">
              <w:rPr>
                <w:color w:val="000000"/>
              </w:rPr>
              <w:t xml:space="preserve"> što je svakako primjenjivo i za </w:t>
            </w:r>
            <w:r w:rsidR="0080015B">
              <w:t>t</w:t>
            </w:r>
            <w:r w:rsidR="0080015B" w:rsidRPr="009C7DF1">
              <w:t>radicijsk</w:t>
            </w:r>
            <w:r w:rsidR="0080015B">
              <w:t>e</w:t>
            </w:r>
            <w:r w:rsidR="0080015B" w:rsidRPr="009C7DF1">
              <w:t xml:space="preserve"> obrt</w:t>
            </w:r>
            <w:r w:rsidR="0080015B">
              <w:t>e</w:t>
            </w:r>
            <w:r w:rsidR="0080015B" w:rsidRPr="009C7DF1">
              <w:t xml:space="preserve"> i suvenir</w:t>
            </w:r>
            <w:r w:rsidR="0080015B">
              <w:t>e</w:t>
            </w:r>
            <w:r w:rsidR="00136C81">
              <w:t>.</w:t>
            </w:r>
          </w:p>
          <w:p w:rsidR="0080015B" w:rsidRDefault="0080015B" w:rsidP="0080015B">
            <w:pPr>
              <w:spacing w:before="240"/>
              <w:rPr>
                <w:color w:val="000000"/>
              </w:rPr>
            </w:pPr>
            <w:r>
              <w:rPr>
                <w:color w:val="000000"/>
              </w:rPr>
              <w:t xml:space="preserve">Nije moguće obrtnike staviti u posebnu kategoriju budući da bi se na taj način određenu kategoriju subjekata stavljalo u povoljniji položaj, a cilj ovog Prijedloga odluke je dostupnost površine javne namjene za božićne i uskrsne blagdane svima pod jednakim uvjetima. </w:t>
            </w:r>
          </w:p>
          <w:p w:rsidR="000539B8" w:rsidRPr="000539B8" w:rsidRDefault="000539B8" w:rsidP="00665E6D">
            <w:pPr>
              <w:spacing w:before="240"/>
              <w:rPr>
                <w:color w:val="000000"/>
              </w:rPr>
            </w:pPr>
          </w:p>
          <w:p w:rsidR="000539B8" w:rsidRDefault="000539B8" w:rsidP="00665E6D">
            <w:pPr>
              <w:spacing w:before="240"/>
            </w:pPr>
          </w:p>
          <w:p w:rsidR="000539B8" w:rsidRPr="009C7DF1" w:rsidRDefault="000539B8" w:rsidP="00665E6D">
            <w:pPr>
              <w:spacing w:before="240"/>
            </w:pPr>
          </w:p>
        </w:tc>
      </w:tr>
      <w:tr w:rsidR="00487368" w:rsidRPr="009C7DF1" w:rsidTr="0080015B">
        <w:tc>
          <w:tcPr>
            <w:tcW w:w="710" w:type="dxa"/>
            <w:tcBorders>
              <w:left w:val="thinThickSmallGap" w:sz="24" w:space="0" w:color="auto"/>
            </w:tcBorders>
            <w:shd w:val="clear" w:color="auto" w:fill="auto"/>
          </w:tcPr>
          <w:p w:rsidR="00487368" w:rsidRPr="009C7DF1" w:rsidRDefault="00D36A6C" w:rsidP="00665E6D">
            <w:pPr>
              <w:spacing w:before="240"/>
            </w:pPr>
            <w:r w:rsidRPr="009C7DF1">
              <w:lastRenderedPageBreak/>
              <w:t xml:space="preserve">2. </w:t>
            </w:r>
          </w:p>
        </w:tc>
        <w:tc>
          <w:tcPr>
            <w:tcW w:w="1559" w:type="dxa"/>
            <w:shd w:val="clear" w:color="auto" w:fill="auto"/>
          </w:tcPr>
          <w:p w:rsidR="00487368" w:rsidRDefault="00314004" w:rsidP="00FB004A">
            <w:pPr>
              <w:spacing w:before="240"/>
            </w:pPr>
            <w:r w:rsidRPr="009C7DF1">
              <w:t>MO Cvjetni trg, Milena Bekić Milinović</w:t>
            </w:r>
            <w:r w:rsidR="009C7DF1">
              <w:t>,</w:t>
            </w:r>
          </w:p>
          <w:p w:rsidR="009C7DF1" w:rsidRPr="009C7DF1" w:rsidRDefault="009C7DF1" w:rsidP="00136C81">
            <w:r>
              <w:t>Potpredsjednica MO</w:t>
            </w:r>
          </w:p>
        </w:tc>
        <w:tc>
          <w:tcPr>
            <w:tcW w:w="1276" w:type="dxa"/>
            <w:shd w:val="clear" w:color="auto" w:fill="auto"/>
          </w:tcPr>
          <w:p w:rsidR="00487368" w:rsidRPr="009C7DF1" w:rsidRDefault="00487368" w:rsidP="00665E6D">
            <w:pPr>
              <w:spacing w:before="240"/>
            </w:pPr>
          </w:p>
        </w:tc>
        <w:tc>
          <w:tcPr>
            <w:tcW w:w="3969" w:type="dxa"/>
            <w:shd w:val="clear" w:color="auto" w:fill="auto"/>
          </w:tcPr>
          <w:p w:rsidR="00314004" w:rsidRPr="009C7DF1" w:rsidRDefault="00314004" w:rsidP="00665E6D">
            <w:pPr>
              <w:spacing w:before="240"/>
            </w:pPr>
            <w:r w:rsidRPr="009C7DF1">
              <w:t xml:space="preserve">Predlažemo da se Članku 43. stavak 1. Odluke  o davanju u zakup i na drugo korištenje površina javne namjene, koji glasi: „Stupanjem na snagu ove odluke s korisnicima izložbenih i reklamnih ormarića sklopit će se ugovori o plaćanju naknade“, doda stavak: </w:t>
            </w:r>
            <w:r w:rsidRPr="009C7DF1">
              <w:rPr>
                <w:i/>
              </w:rPr>
              <w:t xml:space="preserve">ormariće se može dati na drugo korištenje i bez naplate, ukoliko za iste postoji širi javni interes, s ciljem optimalne prezentacije  </w:t>
            </w:r>
            <w:r w:rsidRPr="009C7DF1">
              <w:rPr>
                <w:i/>
              </w:rPr>
              <w:lastRenderedPageBreak/>
              <w:t>prostora unutar zaštićene kulturno-povijesne cjeline grada Zagreba</w:t>
            </w:r>
            <w:r w:rsidRPr="009C7DF1">
              <w:t xml:space="preserve">. </w:t>
            </w:r>
          </w:p>
          <w:p w:rsidR="00314004" w:rsidRPr="009C7DF1" w:rsidRDefault="00314004" w:rsidP="00665E6D">
            <w:pPr>
              <w:spacing w:before="240"/>
            </w:pPr>
            <w:r w:rsidRPr="009C7DF1">
              <w:t>(Budući da se obraćam u ime MO Cvjetni trg, moje primjedbe odnose se prije svega na devastirane ormariće u Prolazu neboder, kako u smjeru I-Z, tako i S-J. S obzirom da navedenim ormarićima upravlja Grad Zagreb, predlažemo da se isti daju na korištenje TZ Grada Zagreba.)</w:t>
            </w:r>
          </w:p>
          <w:p w:rsidR="00D36A6C" w:rsidRPr="009C7DF1" w:rsidRDefault="00D36A6C" w:rsidP="00665E6D">
            <w:pPr>
              <w:spacing w:before="240"/>
            </w:pPr>
          </w:p>
        </w:tc>
        <w:tc>
          <w:tcPr>
            <w:tcW w:w="3118" w:type="dxa"/>
            <w:tcBorders>
              <w:right w:val="thinThickSmallGap" w:sz="24" w:space="0" w:color="auto"/>
            </w:tcBorders>
            <w:shd w:val="clear" w:color="auto" w:fill="auto"/>
          </w:tcPr>
          <w:p w:rsidR="00DF36C3" w:rsidRPr="009C7DF1" w:rsidRDefault="00665E6D" w:rsidP="00665E6D">
            <w:pPr>
              <w:spacing w:before="240"/>
            </w:pPr>
            <w:r w:rsidRPr="00665E6D">
              <w:lastRenderedPageBreak/>
              <w:t>Primjedba se ne prihvaća je</w:t>
            </w:r>
            <w:r w:rsidR="00136C81">
              <w:t>r</w:t>
            </w:r>
            <w:r w:rsidRPr="00665E6D">
              <w:t xml:space="preserve"> ista nije predmet Prijedloga odluke</w:t>
            </w:r>
            <w:r>
              <w:t>.</w:t>
            </w:r>
          </w:p>
        </w:tc>
      </w:tr>
      <w:tr w:rsidR="00665E6D" w:rsidRPr="009C7DF1" w:rsidTr="0080015B">
        <w:tc>
          <w:tcPr>
            <w:tcW w:w="710" w:type="dxa"/>
            <w:tcBorders>
              <w:left w:val="thinThickSmallGap" w:sz="24" w:space="0" w:color="auto"/>
            </w:tcBorders>
            <w:shd w:val="clear" w:color="auto" w:fill="auto"/>
          </w:tcPr>
          <w:p w:rsidR="00665E6D" w:rsidRPr="009C7DF1" w:rsidRDefault="00665E6D" w:rsidP="00665E6D">
            <w:pPr>
              <w:spacing w:before="240"/>
            </w:pPr>
            <w:r w:rsidRPr="009C7DF1">
              <w:t xml:space="preserve">3. </w:t>
            </w:r>
          </w:p>
        </w:tc>
        <w:tc>
          <w:tcPr>
            <w:tcW w:w="1559" w:type="dxa"/>
            <w:shd w:val="clear" w:color="auto" w:fill="auto"/>
          </w:tcPr>
          <w:p w:rsidR="00665E6D" w:rsidRPr="009C7DF1" w:rsidRDefault="00665E6D" w:rsidP="00665E6D">
            <w:pPr>
              <w:spacing w:before="240"/>
            </w:pPr>
            <w:r w:rsidRPr="009C7DF1">
              <w:t>MONDI d.o.o., Zagreb, Gajeva 23</w:t>
            </w:r>
          </w:p>
        </w:tc>
        <w:tc>
          <w:tcPr>
            <w:tcW w:w="1276" w:type="dxa"/>
            <w:shd w:val="clear" w:color="auto" w:fill="auto"/>
          </w:tcPr>
          <w:p w:rsidR="00665E6D" w:rsidRPr="009C7DF1" w:rsidRDefault="00665E6D" w:rsidP="00665E6D">
            <w:pPr>
              <w:spacing w:before="240"/>
            </w:pPr>
          </w:p>
        </w:tc>
        <w:tc>
          <w:tcPr>
            <w:tcW w:w="3969" w:type="dxa"/>
            <w:shd w:val="clear" w:color="auto" w:fill="auto"/>
          </w:tcPr>
          <w:p w:rsidR="00665E6D" w:rsidRPr="009C7DF1" w:rsidRDefault="00665E6D" w:rsidP="00665E6D">
            <w:pPr>
              <w:spacing w:before="240"/>
              <w:jc w:val="both"/>
            </w:pPr>
            <w:r w:rsidRPr="009C7DF1">
              <w:t xml:space="preserve">Predlaže se izmjena i dopuna odluke na način da se i u slučaju kada podnositelj zahtjeva za postavljanje terase želi istu postaviti na javno parkirno mjesto, u postojeću odluku doda odredba kojom se nadležno tijelo, obvezuje da u postupku koji prethodi donošenju rješenja obavezno zatraži suglasnost pravne osobe ispred čijeg se poslovnog prostora (lokala, izloga ili pročelja) želi postaviti terasa na javno parkirno mjesto, a koja bi, prema zahtjevu podnositelja, zauzimala i prostor izvan dimenzija prostora podnositelja zahtjeva.  </w:t>
            </w:r>
          </w:p>
          <w:p w:rsidR="00665E6D" w:rsidRPr="009C7DF1" w:rsidRDefault="00665E6D" w:rsidP="00665E6D">
            <w:pPr>
              <w:spacing w:before="240"/>
            </w:pPr>
          </w:p>
        </w:tc>
        <w:tc>
          <w:tcPr>
            <w:tcW w:w="3118" w:type="dxa"/>
            <w:tcBorders>
              <w:right w:val="thinThickSmallGap" w:sz="24" w:space="0" w:color="auto"/>
            </w:tcBorders>
            <w:shd w:val="clear" w:color="auto" w:fill="auto"/>
          </w:tcPr>
          <w:p w:rsidR="00665E6D" w:rsidRPr="009C7DF1" w:rsidRDefault="00665E6D" w:rsidP="00665E6D">
            <w:pPr>
              <w:spacing w:before="240"/>
            </w:pPr>
            <w:r w:rsidRPr="00665E6D">
              <w:t>Primjedba se ne prihvaća je ista nije predmet Prijedloga odluke</w:t>
            </w:r>
            <w:r>
              <w:t>.</w:t>
            </w:r>
          </w:p>
        </w:tc>
      </w:tr>
      <w:tr w:rsidR="00665E6D" w:rsidRPr="009C7DF1" w:rsidTr="0080015B">
        <w:tc>
          <w:tcPr>
            <w:tcW w:w="710" w:type="dxa"/>
            <w:tcBorders>
              <w:left w:val="thinThickSmallGap" w:sz="24" w:space="0" w:color="auto"/>
            </w:tcBorders>
            <w:shd w:val="clear" w:color="auto" w:fill="auto"/>
          </w:tcPr>
          <w:p w:rsidR="00665E6D" w:rsidRPr="009C7DF1" w:rsidRDefault="00665E6D" w:rsidP="00665E6D">
            <w:pPr>
              <w:spacing w:before="240"/>
            </w:pPr>
            <w:r w:rsidRPr="009C7DF1">
              <w:t>4.</w:t>
            </w:r>
          </w:p>
        </w:tc>
        <w:tc>
          <w:tcPr>
            <w:tcW w:w="1559" w:type="dxa"/>
            <w:shd w:val="clear" w:color="auto" w:fill="auto"/>
          </w:tcPr>
          <w:p w:rsidR="00665E6D" w:rsidRPr="009C7DF1" w:rsidRDefault="00665E6D" w:rsidP="00665E6D">
            <w:pPr>
              <w:spacing w:before="240"/>
            </w:pPr>
            <w:r w:rsidRPr="009C7DF1">
              <w:t>Udruženje obrtnika grada Zagreba</w:t>
            </w:r>
          </w:p>
        </w:tc>
        <w:tc>
          <w:tcPr>
            <w:tcW w:w="1276" w:type="dxa"/>
            <w:shd w:val="clear" w:color="auto" w:fill="auto"/>
          </w:tcPr>
          <w:p w:rsidR="00665E6D" w:rsidRPr="009C7DF1" w:rsidRDefault="00665E6D" w:rsidP="00665E6D">
            <w:pPr>
              <w:spacing w:before="240"/>
            </w:pPr>
          </w:p>
        </w:tc>
        <w:tc>
          <w:tcPr>
            <w:tcW w:w="3969" w:type="dxa"/>
            <w:shd w:val="clear" w:color="auto" w:fill="auto"/>
          </w:tcPr>
          <w:p w:rsidR="00665E6D" w:rsidRPr="009C7DF1" w:rsidRDefault="00665E6D" w:rsidP="00665E6D">
            <w:pPr>
              <w:spacing w:before="240"/>
            </w:pPr>
            <w:r w:rsidRPr="009C7DF1">
              <w:t>Predlaže se da se uskrsni sajam izuzme iz  javnog nadmetanja.</w:t>
            </w:r>
          </w:p>
          <w:p w:rsidR="00665E6D" w:rsidRPr="009C7DF1" w:rsidRDefault="00665E6D" w:rsidP="00665E6D">
            <w:pPr>
              <w:spacing w:before="240"/>
            </w:pPr>
            <w:r w:rsidRPr="009C7DF1">
              <w:t>Dodati stavak da se gradonačelniku omogući dodavanje lokacija za  ustanove i udruženja  osnovana od RH</w:t>
            </w:r>
            <w:r w:rsidR="0080015B">
              <w:t>.</w:t>
            </w:r>
          </w:p>
        </w:tc>
        <w:tc>
          <w:tcPr>
            <w:tcW w:w="3118" w:type="dxa"/>
            <w:tcBorders>
              <w:right w:val="thinThickSmallGap" w:sz="24" w:space="0" w:color="auto"/>
            </w:tcBorders>
            <w:shd w:val="clear" w:color="auto" w:fill="auto"/>
          </w:tcPr>
          <w:p w:rsidR="00665E6D" w:rsidRPr="009C7DF1" w:rsidRDefault="003B5846" w:rsidP="00665E6D">
            <w:pPr>
              <w:spacing w:before="240"/>
            </w:pPr>
            <w:r>
              <w:t xml:space="preserve">Primjedba se ne prihvaća jer je </w:t>
            </w:r>
            <w:r w:rsidRPr="003B5846">
              <w:t>cilj ovog Prijedloga odluke dostupnost površine javne namjene za božićne i uskrsne blagdane svima pod jednakim uvjetima.</w:t>
            </w:r>
          </w:p>
        </w:tc>
      </w:tr>
      <w:tr w:rsidR="00B26DF5" w:rsidRPr="009C7DF1" w:rsidTr="0080015B">
        <w:tc>
          <w:tcPr>
            <w:tcW w:w="710" w:type="dxa"/>
            <w:tcBorders>
              <w:left w:val="thinThickSmallGap" w:sz="24" w:space="0" w:color="auto"/>
            </w:tcBorders>
            <w:shd w:val="clear" w:color="auto" w:fill="auto"/>
          </w:tcPr>
          <w:p w:rsidR="00B26DF5" w:rsidRDefault="00B26DF5" w:rsidP="00665E6D">
            <w:pPr>
              <w:spacing w:before="240"/>
            </w:pPr>
            <w:r>
              <w:t>5.</w:t>
            </w:r>
          </w:p>
          <w:p w:rsidR="00B26DF5" w:rsidRPr="009C7DF1" w:rsidRDefault="00B26DF5" w:rsidP="00665E6D">
            <w:pPr>
              <w:spacing w:before="240"/>
            </w:pPr>
          </w:p>
        </w:tc>
        <w:tc>
          <w:tcPr>
            <w:tcW w:w="1559" w:type="dxa"/>
            <w:shd w:val="clear" w:color="auto" w:fill="auto"/>
          </w:tcPr>
          <w:p w:rsidR="00B26DF5" w:rsidRPr="009C7DF1" w:rsidRDefault="00B26DF5" w:rsidP="00665E6D">
            <w:pPr>
              <w:spacing w:before="240"/>
            </w:pPr>
            <w:r w:rsidRPr="00B26DF5">
              <w:t>Udruženje ugostitelja Zagreb</w:t>
            </w:r>
          </w:p>
        </w:tc>
        <w:tc>
          <w:tcPr>
            <w:tcW w:w="1276" w:type="dxa"/>
            <w:shd w:val="clear" w:color="auto" w:fill="auto"/>
          </w:tcPr>
          <w:p w:rsidR="00B26DF5" w:rsidRPr="009C7DF1" w:rsidRDefault="00B26DF5" w:rsidP="00665E6D">
            <w:pPr>
              <w:spacing w:before="240"/>
            </w:pPr>
          </w:p>
        </w:tc>
        <w:tc>
          <w:tcPr>
            <w:tcW w:w="3969" w:type="dxa"/>
            <w:shd w:val="clear" w:color="auto" w:fill="auto"/>
          </w:tcPr>
          <w:p w:rsidR="00B26DF5" w:rsidRDefault="00B26DF5" w:rsidP="00B26DF5">
            <w:pPr>
              <w:pStyle w:val="Default"/>
              <w:spacing w:before="240"/>
              <w:rPr>
                <w:sz w:val="23"/>
                <w:szCs w:val="23"/>
              </w:rPr>
            </w:pPr>
            <w:r>
              <w:rPr>
                <w:sz w:val="23"/>
                <w:szCs w:val="23"/>
              </w:rPr>
              <w:t xml:space="preserve">Prilikom raspisivanja javnog natječaja za postavljanje pokretnih naprava </w:t>
            </w:r>
            <w:r>
              <w:rPr>
                <w:b/>
                <w:bCs/>
                <w:sz w:val="23"/>
                <w:szCs w:val="23"/>
              </w:rPr>
              <w:t>za ugostiteljske usluge za uskrsne i božićne blagdane</w:t>
            </w:r>
            <w:r>
              <w:rPr>
                <w:sz w:val="23"/>
                <w:szCs w:val="23"/>
              </w:rPr>
              <w:t xml:space="preserve">, važno je voditi računa o postojećim poslovnim subjektima koji obavljaju ugostiteljsku uslugu u fiksnim ugostiteljskim objektima na lokacijama za koje se raspisuje natječaj. </w:t>
            </w:r>
          </w:p>
          <w:p w:rsidR="00B26DF5" w:rsidRDefault="00B26DF5" w:rsidP="00B26DF5">
            <w:pPr>
              <w:pStyle w:val="Default"/>
              <w:rPr>
                <w:sz w:val="23"/>
                <w:szCs w:val="23"/>
              </w:rPr>
            </w:pPr>
            <w:r>
              <w:rPr>
                <w:sz w:val="23"/>
                <w:szCs w:val="23"/>
              </w:rPr>
              <w:t xml:space="preserve">Stoga predlažemo da javni natječaj za postavljanje pokretnih naprava </w:t>
            </w:r>
            <w:r>
              <w:rPr>
                <w:b/>
                <w:bCs/>
                <w:sz w:val="23"/>
                <w:szCs w:val="23"/>
              </w:rPr>
              <w:t xml:space="preserve">za ugostiteljske usluge </w:t>
            </w:r>
            <w:r>
              <w:rPr>
                <w:sz w:val="23"/>
                <w:szCs w:val="23"/>
              </w:rPr>
              <w:t xml:space="preserve">za uskrsne i </w:t>
            </w:r>
            <w:r>
              <w:rPr>
                <w:sz w:val="23"/>
                <w:szCs w:val="23"/>
              </w:rPr>
              <w:lastRenderedPageBreak/>
              <w:t xml:space="preserve">božićne blagdana osobito sadrži i odredbu: </w:t>
            </w:r>
          </w:p>
          <w:p w:rsidR="00B26DF5" w:rsidRDefault="00B26DF5" w:rsidP="00B26DF5">
            <w:pPr>
              <w:pStyle w:val="Default"/>
              <w:rPr>
                <w:sz w:val="23"/>
                <w:szCs w:val="23"/>
              </w:rPr>
            </w:pPr>
            <w:r>
              <w:rPr>
                <w:sz w:val="23"/>
                <w:szCs w:val="23"/>
              </w:rPr>
              <w:t xml:space="preserve">Pravo prednosti za dodjelu lokacije – mjesta na javnom natječaju ostvaruje prijavitelj koji kumulativno ispunjava sljedeće uvjete: </w:t>
            </w:r>
          </w:p>
          <w:p w:rsidR="00B26DF5" w:rsidRDefault="00B26DF5" w:rsidP="00B26DF5">
            <w:pPr>
              <w:pStyle w:val="Default"/>
              <w:rPr>
                <w:sz w:val="23"/>
                <w:szCs w:val="23"/>
              </w:rPr>
            </w:pPr>
            <w:r>
              <w:rPr>
                <w:sz w:val="23"/>
                <w:szCs w:val="23"/>
              </w:rPr>
              <w:t xml:space="preserve">- Prijavitelj za primarnu gospodarsku djelatnost obavlja i ima registriran NKD 56. (djelatnost pripreme i usluživanja hrane) [Dokaz – izvod iz Registra poslovnih subjekata ] </w:t>
            </w:r>
          </w:p>
          <w:p w:rsidR="00B26DF5" w:rsidRDefault="00B26DF5" w:rsidP="00B26DF5">
            <w:pPr>
              <w:pStyle w:val="Default"/>
              <w:rPr>
                <w:sz w:val="23"/>
                <w:szCs w:val="23"/>
              </w:rPr>
            </w:pPr>
            <w:r>
              <w:rPr>
                <w:sz w:val="23"/>
                <w:szCs w:val="23"/>
              </w:rPr>
              <w:t xml:space="preserve">- Prijavitelj posluje najmanje tri godine prije objave javnog poziva [Dokaz – izvod iz odgovarajućeg registra] </w:t>
            </w:r>
          </w:p>
          <w:p w:rsidR="00B26DF5" w:rsidRDefault="00B26DF5" w:rsidP="00B26DF5">
            <w:pPr>
              <w:pStyle w:val="Default"/>
              <w:rPr>
                <w:sz w:val="23"/>
                <w:szCs w:val="23"/>
              </w:rPr>
            </w:pPr>
            <w:r>
              <w:rPr>
                <w:sz w:val="23"/>
                <w:szCs w:val="23"/>
              </w:rPr>
              <w:t xml:space="preserve">- Prijavitelj ima sjedište i posluje na području Grada Zagreba [Dokaz – izvod iz odgovarajućeg registra]. </w:t>
            </w:r>
          </w:p>
          <w:p w:rsidR="00B26DF5" w:rsidRDefault="00B26DF5" w:rsidP="00B26DF5">
            <w:pPr>
              <w:pStyle w:val="Default"/>
              <w:rPr>
                <w:sz w:val="23"/>
                <w:szCs w:val="23"/>
              </w:rPr>
            </w:pPr>
            <w:r>
              <w:rPr>
                <w:sz w:val="23"/>
                <w:szCs w:val="23"/>
              </w:rPr>
              <w:t xml:space="preserve">Pravo prednosti sukladno navedenim kriterijima je nužno omogućiti sa ciljem suzbijanja nelojalne konkurencije te zaštite poslovanja ugostitelja u fiksnim građevinama koje iziskuje znatno veća ulaganja. </w:t>
            </w:r>
          </w:p>
          <w:p w:rsidR="00B26DF5" w:rsidRPr="00B26DF5" w:rsidRDefault="00B26DF5" w:rsidP="00B26DF5">
            <w:pPr>
              <w:pStyle w:val="Default"/>
              <w:rPr>
                <w:sz w:val="23"/>
                <w:szCs w:val="23"/>
              </w:rPr>
            </w:pPr>
            <w:r>
              <w:rPr>
                <w:sz w:val="23"/>
                <w:szCs w:val="23"/>
              </w:rPr>
              <w:t xml:space="preserve">Također je važno skrenuti pozornost na činjenicu da je velik broj projekata koji se događaju za vrijeme uskrsnih i božićnih blagdana sufinanciran sredstvima Turističke zajednice grada Zagreba (TZGZ), a upravo subjekti sa područja Grada Zagreba plaćaju naknadu TZGZ te je stoga važno omogućiti pravo prvenstva ugostiteljima koji posluju na području Grada Zagreba prilikom prijave na javni natječaj za postavljanje pokretnih naprava za ugostiteljske usluge za uskrsne i božićne blagdana </w:t>
            </w:r>
          </w:p>
        </w:tc>
        <w:tc>
          <w:tcPr>
            <w:tcW w:w="3118" w:type="dxa"/>
            <w:tcBorders>
              <w:right w:val="thinThickSmallGap" w:sz="24" w:space="0" w:color="auto"/>
            </w:tcBorders>
            <w:shd w:val="clear" w:color="auto" w:fill="auto"/>
          </w:tcPr>
          <w:p w:rsidR="00B26DF5" w:rsidRDefault="009309B0" w:rsidP="00665E6D">
            <w:pPr>
              <w:spacing w:before="240"/>
            </w:pPr>
            <w:r>
              <w:lastRenderedPageBreak/>
              <w:t>P</w:t>
            </w:r>
            <w:r w:rsidR="00B26DF5">
              <w:t xml:space="preserve">rimjedba se ne prihvaća jer je cilj </w:t>
            </w:r>
            <w:r w:rsidR="00B26DF5" w:rsidRPr="003B5846">
              <w:t>ovog Prijedloga odluke dostupnost površine javne namjene za božićne i uskrsne blagdane svima pod jednakim uvjetima.</w:t>
            </w:r>
            <w:bookmarkStart w:id="0" w:name="_GoBack"/>
            <w:bookmarkEnd w:id="0"/>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p w:rsidR="00B26DF5" w:rsidRDefault="00B26DF5" w:rsidP="00665E6D">
            <w:pPr>
              <w:spacing w:before="240"/>
            </w:pPr>
          </w:p>
        </w:tc>
      </w:tr>
    </w:tbl>
    <w:p w:rsidR="0021407F" w:rsidRPr="009C7DF1" w:rsidRDefault="0021407F" w:rsidP="0019746E"/>
    <w:sectPr w:rsidR="0021407F" w:rsidRPr="009C7DF1" w:rsidSect="00314004">
      <w:footerReference w:type="default" r:id="rId8"/>
      <w:pgSz w:w="11906" w:h="16838"/>
      <w:pgMar w:top="1079" w:right="709" w:bottom="1417" w:left="851"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05" w:rsidRDefault="00512C05" w:rsidP="00A95FA0">
      <w:r>
        <w:separator/>
      </w:r>
    </w:p>
  </w:endnote>
  <w:endnote w:type="continuationSeparator" w:id="0">
    <w:p w:rsidR="00512C05" w:rsidRDefault="00512C05" w:rsidP="00A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103350"/>
      <w:docPartObj>
        <w:docPartGallery w:val="Page Numbers (Bottom of Page)"/>
        <w:docPartUnique/>
      </w:docPartObj>
    </w:sdtPr>
    <w:sdtEndPr>
      <w:rPr>
        <w:noProof/>
      </w:rPr>
    </w:sdtEndPr>
    <w:sdtContent>
      <w:p w:rsidR="00F2635F" w:rsidRDefault="00F263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635F" w:rsidRDefault="00F26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05" w:rsidRDefault="00512C05" w:rsidP="00A95FA0">
      <w:r>
        <w:separator/>
      </w:r>
    </w:p>
  </w:footnote>
  <w:footnote w:type="continuationSeparator" w:id="0">
    <w:p w:rsidR="00512C05" w:rsidRDefault="00512C05" w:rsidP="00A9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9C7"/>
    <w:multiLevelType w:val="multilevel"/>
    <w:tmpl w:val="7FFA2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3F3195"/>
    <w:multiLevelType w:val="hybridMultilevel"/>
    <w:tmpl w:val="E9668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7F3067"/>
    <w:multiLevelType w:val="hybridMultilevel"/>
    <w:tmpl w:val="65420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25B3D48"/>
    <w:multiLevelType w:val="hybridMultilevel"/>
    <w:tmpl w:val="0994E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654065"/>
    <w:multiLevelType w:val="hybridMultilevel"/>
    <w:tmpl w:val="358CB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136129"/>
    <w:multiLevelType w:val="hybridMultilevel"/>
    <w:tmpl w:val="D762562A"/>
    <w:lvl w:ilvl="0" w:tplc="653E8A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A046A4"/>
    <w:multiLevelType w:val="hybridMultilevel"/>
    <w:tmpl w:val="9E36E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1F129C"/>
    <w:multiLevelType w:val="multilevel"/>
    <w:tmpl w:val="278A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68"/>
    <w:rsid w:val="00000F9A"/>
    <w:rsid w:val="0005003D"/>
    <w:rsid w:val="000539B8"/>
    <w:rsid w:val="00055182"/>
    <w:rsid w:val="000B52A1"/>
    <w:rsid w:val="000D7076"/>
    <w:rsid w:val="001110A7"/>
    <w:rsid w:val="00136C81"/>
    <w:rsid w:val="0019746E"/>
    <w:rsid w:val="001D20E3"/>
    <w:rsid w:val="001E6D9D"/>
    <w:rsid w:val="001F3156"/>
    <w:rsid w:val="0021407F"/>
    <w:rsid w:val="00274ADC"/>
    <w:rsid w:val="002E7103"/>
    <w:rsid w:val="00313306"/>
    <w:rsid w:val="00314004"/>
    <w:rsid w:val="0034407F"/>
    <w:rsid w:val="00362C40"/>
    <w:rsid w:val="003B5846"/>
    <w:rsid w:val="003F254E"/>
    <w:rsid w:val="00423E43"/>
    <w:rsid w:val="00485374"/>
    <w:rsid w:val="00487368"/>
    <w:rsid w:val="0050098D"/>
    <w:rsid w:val="00512C05"/>
    <w:rsid w:val="0055305A"/>
    <w:rsid w:val="005A4E3C"/>
    <w:rsid w:val="005B4344"/>
    <w:rsid w:val="0060050D"/>
    <w:rsid w:val="00607107"/>
    <w:rsid w:val="00665E6D"/>
    <w:rsid w:val="00686A12"/>
    <w:rsid w:val="006F11E7"/>
    <w:rsid w:val="00706885"/>
    <w:rsid w:val="00713078"/>
    <w:rsid w:val="00776E40"/>
    <w:rsid w:val="007D48FF"/>
    <w:rsid w:val="0080015B"/>
    <w:rsid w:val="00866B19"/>
    <w:rsid w:val="008F2057"/>
    <w:rsid w:val="008F6F4E"/>
    <w:rsid w:val="009309B0"/>
    <w:rsid w:val="00983BB4"/>
    <w:rsid w:val="009A5822"/>
    <w:rsid w:val="009B6CE1"/>
    <w:rsid w:val="009C7DF1"/>
    <w:rsid w:val="009D6076"/>
    <w:rsid w:val="00A95FA0"/>
    <w:rsid w:val="00AB3A5B"/>
    <w:rsid w:val="00AE41B0"/>
    <w:rsid w:val="00AF65B2"/>
    <w:rsid w:val="00B25E46"/>
    <w:rsid w:val="00B26DF5"/>
    <w:rsid w:val="00B801C5"/>
    <w:rsid w:val="00B85EEF"/>
    <w:rsid w:val="00C176A4"/>
    <w:rsid w:val="00C97EB5"/>
    <w:rsid w:val="00CE757E"/>
    <w:rsid w:val="00D36A6C"/>
    <w:rsid w:val="00D46F12"/>
    <w:rsid w:val="00D608D5"/>
    <w:rsid w:val="00DB57D0"/>
    <w:rsid w:val="00DF36C3"/>
    <w:rsid w:val="00E00812"/>
    <w:rsid w:val="00E009E5"/>
    <w:rsid w:val="00F2635F"/>
    <w:rsid w:val="00F451A0"/>
    <w:rsid w:val="00F56A62"/>
    <w:rsid w:val="00FB004A"/>
    <w:rsid w:val="00FF78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57FBCDB"/>
  <w15:chartTrackingRefBased/>
  <w15:docId w15:val="{8497CE5D-263C-406C-9AB4-90A54067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A6C"/>
    <w:pPr>
      <w:autoSpaceDE w:val="0"/>
      <w:autoSpaceDN w:val="0"/>
      <w:adjustRightInd w:val="0"/>
    </w:pPr>
    <w:rPr>
      <w:color w:val="000000"/>
      <w:sz w:val="24"/>
      <w:szCs w:val="24"/>
    </w:rPr>
  </w:style>
  <w:style w:type="paragraph" w:customStyle="1" w:styleId="Standard">
    <w:name w:val="Standard"/>
    <w:rsid w:val="008F6F4E"/>
    <w:pPr>
      <w:suppressAutoHyphens/>
      <w:autoSpaceDN w:val="0"/>
    </w:pPr>
    <w:rPr>
      <w:sz w:val="24"/>
      <w:szCs w:val="24"/>
    </w:rPr>
  </w:style>
  <w:style w:type="paragraph" w:styleId="Header">
    <w:name w:val="header"/>
    <w:basedOn w:val="Normal"/>
    <w:link w:val="HeaderChar"/>
    <w:rsid w:val="00A95FA0"/>
    <w:pPr>
      <w:tabs>
        <w:tab w:val="center" w:pos="4536"/>
        <w:tab w:val="right" w:pos="9072"/>
      </w:tabs>
    </w:pPr>
  </w:style>
  <w:style w:type="character" w:customStyle="1" w:styleId="HeaderChar">
    <w:name w:val="Header Char"/>
    <w:basedOn w:val="DefaultParagraphFont"/>
    <w:link w:val="Header"/>
    <w:rsid w:val="00A95FA0"/>
    <w:rPr>
      <w:sz w:val="24"/>
      <w:szCs w:val="24"/>
    </w:rPr>
  </w:style>
  <w:style w:type="paragraph" w:styleId="Footer">
    <w:name w:val="footer"/>
    <w:basedOn w:val="Normal"/>
    <w:link w:val="FooterChar"/>
    <w:uiPriority w:val="99"/>
    <w:rsid w:val="00A95FA0"/>
    <w:pPr>
      <w:tabs>
        <w:tab w:val="center" w:pos="4536"/>
        <w:tab w:val="right" w:pos="9072"/>
      </w:tabs>
    </w:pPr>
  </w:style>
  <w:style w:type="character" w:customStyle="1" w:styleId="FooterChar">
    <w:name w:val="Footer Char"/>
    <w:basedOn w:val="DefaultParagraphFont"/>
    <w:link w:val="Footer"/>
    <w:uiPriority w:val="99"/>
    <w:rsid w:val="00A95FA0"/>
    <w:rPr>
      <w:sz w:val="24"/>
      <w:szCs w:val="24"/>
    </w:rPr>
  </w:style>
  <w:style w:type="paragraph" w:styleId="BalloonText">
    <w:name w:val="Balloon Text"/>
    <w:basedOn w:val="Normal"/>
    <w:link w:val="BalloonTextChar"/>
    <w:rsid w:val="00A95FA0"/>
    <w:rPr>
      <w:rFonts w:ascii="Segoe UI" w:hAnsi="Segoe UI" w:cs="Segoe UI"/>
      <w:sz w:val="18"/>
      <w:szCs w:val="18"/>
    </w:rPr>
  </w:style>
  <w:style w:type="character" w:customStyle="1" w:styleId="BalloonTextChar">
    <w:name w:val="Balloon Text Char"/>
    <w:basedOn w:val="DefaultParagraphFont"/>
    <w:link w:val="BalloonText"/>
    <w:rsid w:val="00A95FA0"/>
    <w:rPr>
      <w:rFonts w:ascii="Segoe UI" w:hAnsi="Segoe UI" w:cs="Segoe UI"/>
      <w:sz w:val="18"/>
      <w:szCs w:val="18"/>
    </w:rPr>
  </w:style>
  <w:style w:type="paragraph" w:styleId="NormalWeb">
    <w:name w:val="Normal (Web)"/>
    <w:basedOn w:val="Normal"/>
    <w:uiPriority w:val="99"/>
    <w:unhideWhenUsed/>
    <w:rsid w:val="00F451A0"/>
    <w:pPr>
      <w:spacing w:before="100" w:beforeAutospacing="1" w:after="100" w:afterAutospacing="1"/>
    </w:pPr>
    <w:rPr>
      <w:lang w:val="en-US" w:eastAsia="en-US"/>
    </w:rPr>
  </w:style>
  <w:style w:type="character" w:styleId="Hyperlink">
    <w:name w:val="Hyperlink"/>
    <w:basedOn w:val="DefaultParagraphFont"/>
    <w:unhideWhenUsed/>
    <w:rsid w:val="00686A12"/>
    <w:rPr>
      <w:color w:val="0563C1" w:themeColor="hyperlink"/>
      <w:u w:val="single"/>
    </w:rPr>
  </w:style>
  <w:style w:type="paragraph" w:styleId="ListParagraph">
    <w:name w:val="List Paragraph"/>
    <w:basedOn w:val="Normal"/>
    <w:uiPriority w:val="34"/>
    <w:qFormat/>
    <w:rsid w:val="0068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0143">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816648953">
      <w:bodyDiv w:val="1"/>
      <w:marLeft w:val="0"/>
      <w:marRight w:val="0"/>
      <w:marTop w:val="0"/>
      <w:marBottom w:val="0"/>
      <w:divBdr>
        <w:top w:val="none" w:sz="0" w:space="0" w:color="auto"/>
        <w:left w:val="none" w:sz="0" w:space="0" w:color="auto"/>
        <w:bottom w:val="none" w:sz="0" w:space="0" w:color="auto"/>
        <w:right w:val="none" w:sz="0" w:space="0" w:color="auto"/>
      </w:divBdr>
    </w:div>
    <w:div w:id="1045905204">
      <w:bodyDiv w:val="1"/>
      <w:marLeft w:val="0"/>
      <w:marRight w:val="0"/>
      <w:marTop w:val="0"/>
      <w:marBottom w:val="0"/>
      <w:divBdr>
        <w:top w:val="none" w:sz="0" w:space="0" w:color="auto"/>
        <w:left w:val="none" w:sz="0" w:space="0" w:color="auto"/>
        <w:bottom w:val="none" w:sz="0" w:space="0" w:color="auto"/>
        <w:right w:val="none" w:sz="0" w:space="0" w:color="auto"/>
      </w:divBdr>
    </w:div>
    <w:div w:id="1147631167">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02547995">
      <w:bodyDiv w:val="1"/>
      <w:marLeft w:val="0"/>
      <w:marRight w:val="0"/>
      <w:marTop w:val="0"/>
      <w:marBottom w:val="0"/>
      <w:divBdr>
        <w:top w:val="none" w:sz="0" w:space="0" w:color="auto"/>
        <w:left w:val="none" w:sz="0" w:space="0" w:color="auto"/>
        <w:bottom w:val="none" w:sz="0" w:space="0" w:color="auto"/>
        <w:right w:val="none" w:sz="0" w:space="0" w:color="auto"/>
      </w:divBdr>
    </w:div>
    <w:div w:id="158815250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712028268">
      <w:bodyDiv w:val="1"/>
      <w:marLeft w:val="0"/>
      <w:marRight w:val="0"/>
      <w:marTop w:val="0"/>
      <w:marBottom w:val="0"/>
      <w:divBdr>
        <w:top w:val="none" w:sz="0" w:space="0" w:color="auto"/>
        <w:left w:val="none" w:sz="0" w:space="0" w:color="auto"/>
        <w:bottom w:val="none" w:sz="0" w:space="0" w:color="auto"/>
        <w:right w:val="none" w:sz="0" w:space="0" w:color="auto"/>
      </w:divBdr>
    </w:div>
    <w:div w:id="1714503291">
      <w:bodyDiv w:val="1"/>
      <w:marLeft w:val="0"/>
      <w:marRight w:val="0"/>
      <w:marTop w:val="0"/>
      <w:marBottom w:val="0"/>
      <w:divBdr>
        <w:top w:val="none" w:sz="0" w:space="0" w:color="auto"/>
        <w:left w:val="none" w:sz="0" w:space="0" w:color="auto"/>
        <w:bottom w:val="none" w:sz="0" w:space="0" w:color="auto"/>
        <w:right w:val="none" w:sz="0" w:space="0" w:color="auto"/>
      </w:divBdr>
    </w:div>
    <w:div w:id="1926838001">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54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EB0D-9A5B-4BF9-8D3C-1239B7F7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993</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Maja Kordić</cp:lastModifiedBy>
  <cp:revision>12</cp:revision>
  <cp:lastPrinted>2022-05-13T12:58:00Z</cp:lastPrinted>
  <dcterms:created xsi:type="dcterms:W3CDTF">2021-08-16T13:39:00Z</dcterms:created>
  <dcterms:modified xsi:type="dcterms:W3CDTF">2022-05-16T09:29:00Z</dcterms:modified>
</cp:coreProperties>
</file>